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D0" w:rsidRDefault="007601D0">
      <w:pPr>
        <w:rPr>
          <w:i/>
          <w:color w:val="808080"/>
        </w:rPr>
      </w:pPr>
    </w:p>
    <w:p w:rsidR="007601D0" w:rsidRDefault="007672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zgłaszania zmian</w:t>
      </w:r>
    </w:p>
    <w:p w:rsidR="007601D0" w:rsidRDefault="007601D0">
      <w:pPr>
        <w:spacing w:line="276" w:lineRule="auto"/>
        <w:jc w:val="both"/>
        <w:rPr>
          <w:sz w:val="20"/>
          <w:szCs w:val="20"/>
        </w:rPr>
      </w:pPr>
    </w:p>
    <w:p w:rsidR="007601D0" w:rsidRDefault="0076725C">
      <w:pPr>
        <w:spacing w:line="276" w:lineRule="auto"/>
        <w:jc w:val="both"/>
      </w:pPr>
      <w:r>
        <w:t>Poniższy formularz składa się z 2 części, które umożliwiają odniesienie się do części składowych SRK Chem</w:t>
      </w:r>
      <w:r w:rsidR="000946EA">
        <w:t>.</w:t>
      </w:r>
    </w:p>
    <w:p w:rsidR="007601D0" w:rsidRDefault="007601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b/>
        </w:rPr>
      </w:pPr>
    </w:p>
    <w:p w:rsidR="007601D0" w:rsidRDefault="007672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WYZNACZNIKI SEKTOROWE SRK CHEM</w:t>
      </w:r>
    </w:p>
    <w:p w:rsidR="007601D0" w:rsidRDefault="007601D0">
      <w:pPr>
        <w:spacing w:line="276" w:lineRule="auto"/>
        <w:jc w:val="both"/>
      </w:pPr>
    </w:p>
    <w:p w:rsidR="007601D0" w:rsidRDefault="0076725C">
      <w:pPr>
        <w:spacing w:line="276" w:lineRule="auto"/>
        <w:jc w:val="both"/>
      </w:pPr>
      <w:r>
        <w:rPr>
          <w:b/>
        </w:rPr>
        <w:t>Wyznaczniki sektorowe</w:t>
      </w:r>
      <w:r>
        <w:t xml:space="preserve"> to grupy kompetencji kluczowych dla sektora przemysłu chemicznego odnoszące się do poszczególnych aspektów działalności w sektorze. Ich zadaniem jest określać sektor, tj. wskazywać obszary objęte </w:t>
      </w:r>
      <w:proofErr w:type="spellStart"/>
      <w:r>
        <w:t>SRKChem</w:t>
      </w:r>
      <w:proofErr w:type="spellEnd"/>
      <w:r>
        <w:t>. Wyodrębniono wyznaczniki sektorowe dla wiedzy i um</w:t>
      </w:r>
      <w:r>
        <w:t xml:space="preserve">iejętności oraz oddzielne dla kompetencji społecznych zawartych w </w:t>
      </w:r>
      <w:proofErr w:type="spellStart"/>
      <w:r>
        <w:t>SRKChem</w:t>
      </w:r>
      <w:proofErr w:type="spellEnd"/>
      <w:r>
        <w:t>.</w:t>
      </w:r>
    </w:p>
    <w:p w:rsidR="007601D0" w:rsidRDefault="0076725C">
      <w:pPr>
        <w:spacing w:line="276" w:lineRule="auto"/>
        <w:jc w:val="both"/>
      </w:pPr>
      <w:r>
        <w:t>W tej części f</w:t>
      </w:r>
      <w:r w:rsidR="000946EA">
        <w:t>ormularza prosimy odnieść się do</w:t>
      </w:r>
      <w:r>
        <w:t xml:space="preserve"> wyznaczników sektorowych.  Należy zastanowić się, czy wszystkie zaprezentowane grupy kompetencji są przypisane do właściwych wyznaczni</w:t>
      </w:r>
      <w:r>
        <w:t xml:space="preserve">ków sektorowych, a jeżeli nie, należy zaproponować zmianę. </w:t>
      </w:r>
    </w:p>
    <w:p w:rsidR="007601D0" w:rsidRDefault="007601D0">
      <w:pPr>
        <w:spacing w:after="0" w:line="240" w:lineRule="auto"/>
        <w:jc w:val="both"/>
        <w:rPr>
          <w:i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89"/>
        <w:gridCol w:w="6373"/>
      </w:tblGrid>
      <w:tr w:rsidR="007601D0">
        <w:tc>
          <w:tcPr>
            <w:tcW w:w="2689" w:type="dxa"/>
            <w:tcBorders>
              <w:top w:val="single" w:sz="4" w:space="0" w:color="8EAADB"/>
              <w:left w:val="single" w:sz="4" w:space="0" w:color="000000"/>
              <w:bottom w:val="single" w:sz="4" w:space="0" w:color="000000"/>
              <w:right w:val="single" w:sz="4" w:space="0" w:color="8EAADB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D0" w:rsidRDefault="0076725C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WIEDZA, UMIEJĘTNOŚCI </w:t>
            </w:r>
          </w:p>
          <w:p w:rsidR="007601D0" w:rsidRDefault="0076725C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Wyznaczniki sektorowe</w:t>
            </w:r>
          </w:p>
        </w:tc>
        <w:tc>
          <w:tcPr>
            <w:tcW w:w="637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D0" w:rsidRDefault="0076725C">
            <w:pPr>
              <w:ind w:left="-594" w:hanging="7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Wyznacznik obejmuje kompetencje związane z:</w:t>
            </w:r>
          </w:p>
        </w:tc>
      </w:tr>
      <w:tr w:rsidR="007601D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8EAADB"/>
              <w:right w:val="single" w:sz="4" w:space="0" w:color="8EAADB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D0" w:rsidRDefault="0076725C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projektowanie produktu</w:t>
            </w:r>
          </w:p>
        </w:tc>
        <w:tc>
          <w:tcPr>
            <w:tcW w:w="637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D0" w:rsidRDefault="0076725C">
            <w:pPr>
              <w:numPr>
                <w:ilvl w:val="0"/>
                <w:numId w:val="3"/>
              </w:numPr>
              <w:ind w:left="459" w:hanging="267"/>
            </w:pPr>
            <w:r>
              <w:t>opracowywaniem i modyfikowaniem produktu</w:t>
            </w:r>
          </w:p>
          <w:p w:rsidR="007601D0" w:rsidRDefault="0076725C">
            <w:pPr>
              <w:numPr>
                <w:ilvl w:val="0"/>
                <w:numId w:val="3"/>
              </w:numPr>
              <w:ind w:left="459" w:hanging="267"/>
            </w:pPr>
            <w:r>
              <w:t>prowadzeniem eksperymentów</w:t>
            </w:r>
          </w:p>
          <w:p w:rsidR="007601D0" w:rsidRDefault="0076725C">
            <w:pPr>
              <w:numPr>
                <w:ilvl w:val="0"/>
                <w:numId w:val="3"/>
              </w:numPr>
              <w:ind w:left="459" w:hanging="267"/>
            </w:pPr>
            <w:r>
              <w:t>określaniem i analizą potrzeb odbiorców</w:t>
            </w:r>
          </w:p>
          <w:p w:rsidR="007601D0" w:rsidRDefault="0076725C">
            <w:pPr>
              <w:numPr>
                <w:ilvl w:val="0"/>
                <w:numId w:val="3"/>
              </w:numPr>
              <w:ind w:left="459" w:hanging="267"/>
            </w:pPr>
            <w:r>
              <w:t>ochroną własności intelektualnej</w:t>
            </w:r>
          </w:p>
        </w:tc>
      </w:tr>
      <w:tr w:rsidR="007601D0">
        <w:tc>
          <w:tcPr>
            <w:tcW w:w="2689" w:type="dxa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8EAADB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D0" w:rsidRDefault="0076725C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organizowanie procesu produkcji</w:t>
            </w:r>
          </w:p>
        </w:tc>
        <w:tc>
          <w:tcPr>
            <w:tcW w:w="637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D0" w:rsidRDefault="0076725C">
            <w:pPr>
              <w:numPr>
                <w:ilvl w:val="0"/>
                <w:numId w:val="3"/>
              </w:numPr>
              <w:ind w:left="459" w:hanging="267"/>
            </w:pPr>
            <w:r>
              <w:t>planowaniem produkcji</w:t>
            </w:r>
          </w:p>
          <w:p w:rsidR="007601D0" w:rsidRDefault="0076725C">
            <w:pPr>
              <w:numPr>
                <w:ilvl w:val="0"/>
                <w:numId w:val="3"/>
              </w:numPr>
              <w:ind w:left="459" w:hanging="267"/>
            </w:pPr>
            <w:r>
              <w:t>określaniem niezbędnych zasobów, kalkulacją kosztów produkcji</w:t>
            </w:r>
          </w:p>
          <w:p w:rsidR="007601D0" w:rsidRDefault="0076725C">
            <w:pPr>
              <w:numPr>
                <w:ilvl w:val="0"/>
                <w:numId w:val="3"/>
              </w:numPr>
              <w:ind w:left="459" w:hanging="267"/>
            </w:pPr>
            <w:r>
              <w:t>analizą możliwości i opłacalności produkcji</w:t>
            </w:r>
          </w:p>
          <w:p w:rsidR="007601D0" w:rsidRDefault="0076725C">
            <w:pPr>
              <w:numPr>
                <w:ilvl w:val="0"/>
                <w:numId w:val="3"/>
              </w:numPr>
              <w:ind w:left="459" w:hanging="267"/>
            </w:pPr>
            <w:r>
              <w:t>współpracą z dostawcami</w:t>
            </w:r>
          </w:p>
          <w:p w:rsidR="007601D0" w:rsidRDefault="0076725C">
            <w:pPr>
              <w:numPr>
                <w:ilvl w:val="0"/>
                <w:numId w:val="3"/>
              </w:numPr>
              <w:ind w:left="459" w:hanging="267"/>
            </w:pPr>
            <w:r>
              <w:t xml:space="preserve">analizą potencjału technologicznego </w:t>
            </w:r>
          </w:p>
          <w:p w:rsidR="007601D0" w:rsidRDefault="0076725C">
            <w:pPr>
              <w:numPr>
                <w:ilvl w:val="0"/>
                <w:numId w:val="3"/>
              </w:numPr>
              <w:ind w:left="459" w:hanging="267"/>
            </w:pPr>
            <w:r>
              <w:t>uwarunkowaniami rynków zbytu</w:t>
            </w:r>
          </w:p>
          <w:p w:rsidR="007601D0" w:rsidRDefault="0076725C">
            <w:pPr>
              <w:numPr>
                <w:ilvl w:val="0"/>
                <w:numId w:val="3"/>
              </w:numPr>
              <w:ind w:left="459" w:hanging="267"/>
            </w:pPr>
            <w:r>
              <w:t>dokumentowaniem procesu produkcji</w:t>
            </w:r>
          </w:p>
        </w:tc>
      </w:tr>
      <w:tr w:rsidR="007601D0">
        <w:tc>
          <w:tcPr>
            <w:tcW w:w="2689" w:type="dxa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8EAADB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D0" w:rsidRDefault="0076725C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kontrola jakości</w:t>
            </w:r>
          </w:p>
        </w:tc>
        <w:tc>
          <w:tcPr>
            <w:tcW w:w="637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D0" w:rsidRDefault="0076725C">
            <w:pPr>
              <w:numPr>
                <w:ilvl w:val="0"/>
                <w:numId w:val="3"/>
              </w:numPr>
              <w:ind w:left="459" w:hanging="267"/>
            </w:pPr>
            <w:r>
              <w:t>wymaganiami i normami jakościowymi</w:t>
            </w:r>
          </w:p>
          <w:p w:rsidR="007601D0" w:rsidRDefault="0076725C">
            <w:pPr>
              <w:numPr>
                <w:ilvl w:val="0"/>
                <w:numId w:val="3"/>
              </w:numPr>
              <w:ind w:left="459" w:hanging="267"/>
            </w:pPr>
            <w:r>
              <w:t>monitorowaniem przebiegu procesu produkcji</w:t>
            </w:r>
          </w:p>
          <w:p w:rsidR="007601D0" w:rsidRDefault="0076725C">
            <w:pPr>
              <w:numPr>
                <w:ilvl w:val="0"/>
                <w:numId w:val="3"/>
              </w:numPr>
              <w:ind w:left="459" w:hanging="267"/>
            </w:pPr>
            <w:r>
              <w:t>przeprowadzaniem pomiarów i badań analitycznych</w:t>
            </w:r>
          </w:p>
          <w:p w:rsidR="007601D0" w:rsidRDefault="0076725C">
            <w:pPr>
              <w:numPr>
                <w:ilvl w:val="0"/>
                <w:numId w:val="3"/>
              </w:numPr>
              <w:ind w:left="459" w:hanging="267"/>
            </w:pPr>
            <w:r>
              <w:t>opracowywaniem planów kontroli</w:t>
            </w:r>
          </w:p>
        </w:tc>
      </w:tr>
      <w:tr w:rsidR="007601D0">
        <w:tc>
          <w:tcPr>
            <w:tcW w:w="2689" w:type="dxa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8EAADB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D0" w:rsidRDefault="0076725C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chemikalia</w:t>
            </w:r>
          </w:p>
        </w:tc>
        <w:tc>
          <w:tcPr>
            <w:tcW w:w="637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D0" w:rsidRDefault="0076725C">
            <w:pPr>
              <w:numPr>
                <w:ilvl w:val="0"/>
                <w:numId w:val="3"/>
              </w:numPr>
              <w:ind w:left="459" w:hanging="267"/>
            </w:pPr>
            <w:r>
              <w:t>znajomością właściwości chemikaliów</w:t>
            </w:r>
          </w:p>
          <w:p w:rsidR="007601D0" w:rsidRDefault="0076725C">
            <w:pPr>
              <w:numPr>
                <w:ilvl w:val="0"/>
                <w:numId w:val="3"/>
              </w:numPr>
              <w:ind w:left="459" w:hanging="267"/>
            </w:pPr>
            <w:r>
              <w:t>postępowaniem z chemikaliami</w:t>
            </w:r>
          </w:p>
          <w:p w:rsidR="007601D0" w:rsidRDefault="0076725C">
            <w:pPr>
              <w:numPr>
                <w:ilvl w:val="0"/>
                <w:numId w:val="3"/>
              </w:numPr>
              <w:ind w:left="459" w:hanging="267"/>
            </w:pPr>
            <w:r>
              <w:t>warunkami stosowania chemikaliów</w:t>
            </w:r>
          </w:p>
          <w:p w:rsidR="007601D0" w:rsidRDefault="0076725C">
            <w:pPr>
              <w:numPr>
                <w:ilvl w:val="0"/>
                <w:numId w:val="3"/>
              </w:numPr>
              <w:ind w:left="459" w:hanging="267"/>
            </w:pPr>
            <w:r>
              <w:t>regulacjami prawnymi dotyczącymi stosowania, rejestrowania, wprowad</w:t>
            </w:r>
            <w:r>
              <w:t>zania chemikaliów do obrotu</w:t>
            </w:r>
          </w:p>
        </w:tc>
      </w:tr>
      <w:tr w:rsidR="007601D0">
        <w:tc>
          <w:tcPr>
            <w:tcW w:w="2689" w:type="dxa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8EAADB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D0" w:rsidRDefault="0076725C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technologia</w:t>
            </w:r>
          </w:p>
        </w:tc>
        <w:tc>
          <w:tcPr>
            <w:tcW w:w="637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D0" w:rsidRDefault="0076725C">
            <w:pPr>
              <w:numPr>
                <w:ilvl w:val="0"/>
                <w:numId w:val="3"/>
              </w:numPr>
              <w:ind w:left="459" w:hanging="267"/>
            </w:pPr>
            <w:r>
              <w:t>projektowaniem i optymalizacją procesów techniczno-technologicznych</w:t>
            </w:r>
          </w:p>
          <w:p w:rsidR="007601D0" w:rsidRDefault="0076725C">
            <w:pPr>
              <w:numPr>
                <w:ilvl w:val="0"/>
                <w:numId w:val="3"/>
              </w:numPr>
              <w:ind w:left="459" w:hanging="267"/>
            </w:pPr>
            <w:r>
              <w:t>technologiami stosowanymi w produkcji</w:t>
            </w:r>
          </w:p>
          <w:p w:rsidR="007601D0" w:rsidRDefault="0076725C">
            <w:pPr>
              <w:numPr>
                <w:ilvl w:val="0"/>
                <w:numId w:val="3"/>
              </w:numPr>
              <w:ind w:left="459" w:hanging="267"/>
            </w:pPr>
            <w:r>
              <w:t>obsługą maszyn i urządzeń</w:t>
            </w:r>
          </w:p>
          <w:p w:rsidR="007601D0" w:rsidRDefault="0076725C">
            <w:pPr>
              <w:numPr>
                <w:ilvl w:val="0"/>
                <w:numId w:val="3"/>
              </w:numPr>
              <w:ind w:left="459" w:hanging="267"/>
            </w:pPr>
            <w:r>
              <w:t>przebiegiem operacji i procesów jednostkowych</w:t>
            </w:r>
          </w:p>
          <w:p w:rsidR="007601D0" w:rsidRDefault="0076725C">
            <w:pPr>
              <w:numPr>
                <w:ilvl w:val="0"/>
                <w:numId w:val="3"/>
              </w:numPr>
              <w:ind w:left="459" w:hanging="267"/>
            </w:pPr>
            <w:r>
              <w:t>stosowaniem terminologii branżowej i znajomością podstaw teoretycznych technologii</w:t>
            </w:r>
          </w:p>
          <w:p w:rsidR="007601D0" w:rsidRDefault="0076725C">
            <w:pPr>
              <w:numPr>
                <w:ilvl w:val="0"/>
                <w:numId w:val="3"/>
              </w:numPr>
              <w:ind w:left="459" w:hanging="267"/>
            </w:pPr>
            <w:r>
              <w:t>posługiwaniem się dokumentacją techniczną</w:t>
            </w:r>
          </w:p>
        </w:tc>
      </w:tr>
      <w:tr w:rsidR="007601D0">
        <w:tc>
          <w:tcPr>
            <w:tcW w:w="2689" w:type="dxa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8EAADB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D0" w:rsidRDefault="0076725C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ochrona środowiska i bezpieczeństwo</w:t>
            </w:r>
          </w:p>
        </w:tc>
        <w:tc>
          <w:tcPr>
            <w:tcW w:w="637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D0" w:rsidRDefault="0076725C">
            <w:pPr>
              <w:numPr>
                <w:ilvl w:val="0"/>
                <w:numId w:val="3"/>
              </w:numPr>
              <w:ind w:left="459" w:hanging="267"/>
            </w:pPr>
            <w:r>
              <w:t>zapewnieniem bezpieczeństwa procesu produkcji</w:t>
            </w:r>
          </w:p>
          <w:p w:rsidR="007601D0" w:rsidRDefault="0076725C">
            <w:pPr>
              <w:numPr>
                <w:ilvl w:val="0"/>
                <w:numId w:val="3"/>
              </w:numPr>
              <w:ind w:left="459" w:hanging="267"/>
            </w:pPr>
            <w:r>
              <w:t>ochroną środowiska</w:t>
            </w:r>
          </w:p>
          <w:p w:rsidR="007601D0" w:rsidRDefault="0076725C">
            <w:pPr>
              <w:numPr>
                <w:ilvl w:val="0"/>
                <w:numId w:val="3"/>
              </w:numPr>
              <w:ind w:left="459" w:hanging="267"/>
            </w:pPr>
            <w:r>
              <w:t>tworzeniem procedur i postępo</w:t>
            </w:r>
            <w:r>
              <w:t>waniem w sytuacjach awaryjnych</w:t>
            </w:r>
          </w:p>
          <w:p w:rsidR="007601D0" w:rsidRDefault="0076725C">
            <w:pPr>
              <w:numPr>
                <w:ilvl w:val="0"/>
                <w:numId w:val="3"/>
              </w:numPr>
              <w:ind w:left="459" w:hanging="267"/>
            </w:pPr>
            <w:r>
              <w:t>postępowaniem z odpadami i produktami ubocznymi</w:t>
            </w:r>
          </w:p>
        </w:tc>
      </w:tr>
    </w:tbl>
    <w:p w:rsidR="007601D0" w:rsidRDefault="007601D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0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89"/>
        <w:gridCol w:w="6373"/>
      </w:tblGrid>
      <w:tr w:rsidR="007601D0">
        <w:trPr>
          <w:trHeight w:val="1260"/>
        </w:trPr>
        <w:tc>
          <w:tcPr>
            <w:tcW w:w="2689" w:type="dxa"/>
            <w:tcBorders>
              <w:top w:val="single" w:sz="4" w:space="0" w:color="8EAADB"/>
              <w:left w:val="single" w:sz="4" w:space="0" w:color="000000"/>
              <w:bottom w:val="single" w:sz="4" w:space="0" w:color="000000"/>
              <w:right w:val="single" w:sz="4" w:space="0" w:color="8EAADB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D0" w:rsidRDefault="0076725C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KOMPETENCJE SPOŁECZNE </w:t>
            </w:r>
          </w:p>
          <w:p w:rsidR="007601D0" w:rsidRDefault="0076725C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Wyznaczniki sektorowe</w:t>
            </w:r>
          </w:p>
        </w:tc>
        <w:tc>
          <w:tcPr>
            <w:tcW w:w="637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D0" w:rsidRDefault="0076725C">
            <w:pPr>
              <w:ind w:left="-594" w:hanging="7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Wyznacznik obejmuje kompetencje związane z:</w:t>
            </w:r>
          </w:p>
        </w:tc>
      </w:tr>
      <w:tr w:rsidR="007601D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8EAADB"/>
              <w:right w:val="single" w:sz="4" w:space="0" w:color="8EAADB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D0" w:rsidRDefault="0076725C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relacje, współpraca</w:t>
            </w:r>
          </w:p>
        </w:tc>
        <w:tc>
          <w:tcPr>
            <w:tcW w:w="637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D0" w:rsidRDefault="0076725C">
            <w:pPr>
              <w:numPr>
                <w:ilvl w:val="0"/>
                <w:numId w:val="3"/>
              </w:numPr>
              <w:ind w:left="600"/>
            </w:pPr>
            <w:r>
              <w:t>utrzymywaniem relacji w środowisku pracy i w środowisku branżowym</w:t>
            </w:r>
          </w:p>
          <w:p w:rsidR="007601D0" w:rsidRDefault="0076725C">
            <w:pPr>
              <w:numPr>
                <w:ilvl w:val="0"/>
                <w:numId w:val="3"/>
              </w:numPr>
              <w:ind w:left="600"/>
            </w:pPr>
            <w:r>
              <w:t>współpracą w zespole</w:t>
            </w:r>
          </w:p>
        </w:tc>
      </w:tr>
      <w:tr w:rsidR="007601D0">
        <w:tc>
          <w:tcPr>
            <w:tcW w:w="2689" w:type="dxa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8EAADB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D0" w:rsidRDefault="0076725C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jakość</w:t>
            </w:r>
          </w:p>
        </w:tc>
        <w:tc>
          <w:tcPr>
            <w:tcW w:w="637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D0" w:rsidRDefault="0076725C">
            <w:pPr>
              <w:numPr>
                <w:ilvl w:val="0"/>
                <w:numId w:val="3"/>
              </w:numPr>
              <w:ind w:left="600"/>
            </w:pPr>
            <w:r>
              <w:t>oceną pracy własnej i podległego zespołu</w:t>
            </w:r>
          </w:p>
        </w:tc>
      </w:tr>
      <w:tr w:rsidR="007601D0">
        <w:tc>
          <w:tcPr>
            <w:tcW w:w="2689" w:type="dxa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8EAADB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D0" w:rsidRDefault="0076725C">
            <w:pPr>
              <w:spacing w:before="240" w:after="240"/>
              <w:ind w:right="-1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normy etyczne i wymagania wynikające z technologii</w:t>
            </w:r>
          </w:p>
        </w:tc>
        <w:tc>
          <w:tcPr>
            <w:tcW w:w="637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D0" w:rsidRDefault="0076725C">
            <w:pPr>
              <w:numPr>
                <w:ilvl w:val="0"/>
                <w:numId w:val="3"/>
              </w:numPr>
              <w:ind w:left="600"/>
            </w:pPr>
            <w:r>
              <w:t>przestrzeganiem i promowaniem norm etycznych i zawodowych</w:t>
            </w:r>
          </w:p>
          <w:p w:rsidR="007601D0" w:rsidRDefault="0076725C">
            <w:pPr>
              <w:numPr>
                <w:ilvl w:val="0"/>
                <w:numId w:val="3"/>
              </w:numPr>
              <w:ind w:left="600"/>
            </w:pPr>
            <w:r>
              <w:t>przestrzeganiem wymagań związanych z technologią</w:t>
            </w:r>
          </w:p>
        </w:tc>
      </w:tr>
      <w:tr w:rsidR="007601D0">
        <w:tc>
          <w:tcPr>
            <w:tcW w:w="2689" w:type="dxa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8EAADB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D0" w:rsidRDefault="0076725C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odpowiedzialność</w:t>
            </w:r>
          </w:p>
        </w:tc>
        <w:tc>
          <w:tcPr>
            <w:tcW w:w="637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D0" w:rsidRDefault="0076725C">
            <w:pPr>
              <w:numPr>
                <w:ilvl w:val="0"/>
                <w:numId w:val="3"/>
              </w:numPr>
              <w:ind w:left="600"/>
            </w:pPr>
            <w:r>
              <w:t>przyjmowaniem odpowiedzialności za poprawność i bezpieczeństwo i efekty działań</w:t>
            </w:r>
          </w:p>
          <w:p w:rsidR="007601D0" w:rsidRDefault="0076725C">
            <w:pPr>
              <w:numPr>
                <w:ilvl w:val="0"/>
                <w:numId w:val="3"/>
              </w:numPr>
              <w:ind w:left="600"/>
            </w:pPr>
            <w:r>
              <w:t>przyjmowaniem odpowiedzialności za bezpieczeństwo odbiorców produktów</w:t>
            </w:r>
          </w:p>
          <w:p w:rsidR="007601D0" w:rsidRDefault="0076725C">
            <w:pPr>
              <w:numPr>
                <w:ilvl w:val="0"/>
                <w:numId w:val="3"/>
              </w:numPr>
              <w:ind w:left="600"/>
            </w:pPr>
            <w:r>
              <w:t>uwzględnianiem skutków oddziaływania na środowisko</w:t>
            </w:r>
          </w:p>
        </w:tc>
      </w:tr>
    </w:tbl>
    <w:p w:rsidR="007601D0" w:rsidRDefault="007601D0">
      <w:pPr>
        <w:jc w:val="both"/>
      </w:pPr>
    </w:p>
    <w:p w:rsidR="007601D0" w:rsidRDefault="0076725C">
      <w:pPr>
        <w:spacing w:line="240" w:lineRule="auto"/>
        <w:jc w:val="both"/>
        <w:rPr>
          <w:b/>
        </w:rPr>
      </w:pPr>
      <w:r>
        <w:rPr>
          <w:b/>
        </w:rPr>
        <w:t>Pytania pomocnicze:</w:t>
      </w:r>
    </w:p>
    <w:p w:rsidR="003876C3" w:rsidRDefault="0076725C" w:rsidP="003876C3">
      <w:pPr>
        <w:numPr>
          <w:ilvl w:val="0"/>
          <w:numId w:val="5"/>
        </w:numPr>
        <w:spacing w:after="0" w:line="276" w:lineRule="auto"/>
        <w:jc w:val="both"/>
        <w:rPr>
          <w:i/>
        </w:rPr>
      </w:pPr>
      <w:r>
        <w:rPr>
          <w:i/>
        </w:rPr>
        <w:t xml:space="preserve">Czy Pana/Pani zdaniem wyznaczniki sektorowe są sformułowane w sposób precyzyjny i zrozumiały? </w:t>
      </w:r>
    </w:p>
    <w:p w:rsidR="003876C3" w:rsidRDefault="003876C3" w:rsidP="003876C3">
      <w:pPr>
        <w:numPr>
          <w:ilvl w:val="0"/>
          <w:numId w:val="5"/>
        </w:numPr>
        <w:spacing w:after="0" w:line="276" w:lineRule="auto"/>
        <w:jc w:val="both"/>
        <w:rPr>
          <w:i/>
        </w:rPr>
      </w:pPr>
      <w:r>
        <w:rPr>
          <w:i/>
          <w:iCs/>
          <w:color w:val="000000"/>
        </w:rPr>
        <w:t>Czy jakichś istotnych wyznaczników brakuje? Jakich?</w:t>
      </w:r>
    </w:p>
    <w:p w:rsidR="003876C3" w:rsidRPr="003876C3" w:rsidRDefault="003876C3" w:rsidP="003876C3">
      <w:pPr>
        <w:numPr>
          <w:ilvl w:val="0"/>
          <w:numId w:val="5"/>
        </w:numPr>
        <w:spacing w:after="0" w:line="276" w:lineRule="auto"/>
        <w:jc w:val="both"/>
        <w:rPr>
          <w:i/>
        </w:rPr>
      </w:pPr>
      <w:r>
        <w:rPr>
          <w:i/>
          <w:iCs/>
          <w:color w:val="000000"/>
        </w:rPr>
        <w:t>Czy któryś z wyznaczników jest zbędny? Który?</w:t>
      </w:r>
    </w:p>
    <w:p w:rsidR="007601D0" w:rsidRPr="003876C3" w:rsidRDefault="0076725C" w:rsidP="003876C3">
      <w:pPr>
        <w:numPr>
          <w:ilvl w:val="0"/>
          <w:numId w:val="5"/>
        </w:numPr>
        <w:spacing w:after="0" w:line="276" w:lineRule="auto"/>
        <w:jc w:val="both"/>
        <w:rPr>
          <w:i/>
        </w:rPr>
      </w:pPr>
      <w:r w:rsidRPr="003876C3">
        <w:rPr>
          <w:i/>
        </w:rPr>
        <w:t>Czy Pana/Pani zdaniem wszystko kompetencje są adekwatnie przyporządkowane do wyznaczników? Jeśli NIE, to pros</w:t>
      </w:r>
      <w:r w:rsidRPr="003876C3">
        <w:rPr>
          <w:i/>
        </w:rPr>
        <w:t>imy o  wskazanie tych kompetencji oraz wskazanie wyznacznika, w którym powinny się znaleźć lub zaproponowanie nowego wyznacznika.</w:t>
      </w:r>
    </w:p>
    <w:p w:rsidR="007601D0" w:rsidRDefault="0076725C">
      <w:pPr>
        <w:numPr>
          <w:ilvl w:val="0"/>
          <w:numId w:val="5"/>
        </w:numPr>
        <w:spacing w:line="276" w:lineRule="auto"/>
        <w:jc w:val="both"/>
        <w:rPr>
          <w:i/>
        </w:rPr>
      </w:pPr>
      <w:r>
        <w:rPr>
          <w:i/>
        </w:rPr>
        <w:t>Czy są inne obszary kompetencji charakterystyczne dla sektora chemicznego, które nie zawierają się w podanych wyznacznikach se</w:t>
      </w:r>
      <w:r>
        <w:rPr>
          <w:i/>
        </w:rPr>
        <w:t>ktorowych? Jeśli TAK, to jakie?</w:t>
      </w:r>
    </w:p>
    <w:p w:rsidR="007601D0" w:rsidRDefault="007601D0">
      <w:pPr>
        <w:spacing w:line="276" w:lineRule="auto"/>
        <w:jc w:val="both"/>
        <w:rPr>
          <w:i/>
        </w:rPr>
      </w:pPr>
    </w:p>
    <w:p w:rsidR="007601D0" w:rsidRDefault="007601D0">
      <w:pPr>
        <w:spacing w:line="276" w:lineRule="auto"/>
        <w:jc w:val="both"/>
        <w:rPr>
          <w:i/>
        </w:rPr>
      </w:pPr>
    </w:p>
    <w:tbl>
      <w:tblPr>
        <w:tblStyle w:val="a1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7601D0" w:rsidTr="00186D45">
        <w:trPr>
          <w:trHeight w:val="5350"/>
        </w:trPr>
        <w:tc>
          <w:tcPr>
            <w:tcW w:w="9209" w:type="dxa"/>
          </w:tcPr>
          <w:p w:rsidR="007601D0" w:rsidRDefault="007601D0">
            <w:pPr>
              <w:spacing w:line="276" w:lineRule="auto"/>
              <w:rPr>
                <w:i/>
              </w:rPr>
            </w:pPr>
          </w:p>
          <w:p w:rsidR="007601D0" w:rsidRDefault="007601D0">
            <w:pPr>
              <w:spacing w:line="276" w:lineRule="auto"/>
              <w:rPr>
                <w:i/>
              </w:rPr>
            </w:pPr>
          </w:p>
          <w:p w:rsidR="007601D0" w:rsidRDefault="007601D0">
            <w:pPr>
              <w:spacing w:line="276" w:lineRule="auto"/>
              <w:rPr>
                <w:i/>
              </w:rPr>
            </w:pPr>
          </w:p>
          <w:p w:rsidR="007601D0" w:rsidRDefault="007601D0">
            <w:pPr>
              <w:spacing w:line="276" w:lineRule="auto"/>
              <w:rPr>
                <w:i/>
              </w:rPr>
            </w:pPr>
          </w:p>
          <w:p w:rsidR="007601D0" w:rsidRDefault="007601D0">
            <w:pPr>
              <w:spacing w:line="276" w:lineRule="auto"/>
              <w:rPr>
                <w:i/>
              </w:rPr>
            </w:pPr>
          </w:p>
          <w:p w:rsidR="007601D0" w:rsidRDefault="007601D0">
            <w:pPr>
              <w:spacing w:line="276" w:lineRule="auto"/>
              <w:rPr>
                <w:i/>
              </w:rPr>
            </w:pPr>
          </w:p>
        </w:tc>
      </w:tr>
    </w:tbl>
    <w:p w:rsidR="007601D0" w:rsidRDefault="007601D0">
      <w:pPr>
        <w:spacing w:line="276" w:lineRule="auto"/>
        <w:jc w:val="both"/>
        <w:rPr>
          <w:i/>
        </w:rPr>
      </w:pPr>
    </w:p>
    <w:p w:rsidR="007601D0" w:rsidRDefault="007672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bookmarkStart w:id="0" w:name="_2et92p0" w:colFirst="0" w:colLast="0"/>
      <w:bookmarkEnd w:id="0"/>
      <w:r>
        <w:rPr>
          <w:b/>
          <w:color w:val="000000"/>
        </w:rPr>
        <w:t>CHARAKTERYSTYKI POZIOMÓW SRK CHEM</w:t>
      </w:r>
    </w:p>
    <w:p w:rsidR="007601D0" w:rsidRDefault="0076725C">
      <w:pPr>
        <w:jc w:val="both"/>
      </w:pPr>
      <w:r>
        <w:t xml:space="preserve">CHARAKTERYSTYKI POSZCZEGÓLNYCH POZIOMÓW SRK CHEM są to zestawy ogólnych stwierdzeń, charakteryzujących wiedzę, umiejętności i kompetencje społeczne, wymagane dla kwalifikacji na danym poziomie sektorowej ramy kwalifikacji. </w:t>
      </w:r>
    </w:p>
    <w:p w:rsidR="007601D0" w:rsidRDefault="0076725C">
      <w:pPr>
        <w:jc w:val="both"/>
      </w:pPr>
      <w:r>
        <w:t>CHARAKTERYSTYKI POSZCZEGÓLNYCH P</w:t>
      </w:r>
      <w:r>
        <w:t>OZIOMÓW SRK CHEM uszeregowane są według rosnącego stopnia złożoności kompetencji, zgodnie z zasadą, że wyższy poziom jest przypisywany kompetencjom bardziej zaawansowanym.</w:t>
      </w:r>
    </w:p>
    <w:p w:rsidR="007601D0" w:rsidRDefault="0076725C">
      <w:pPr>
        <w:jc w:val="both"/>
      </w:pPr>
      <w:r>
        <w:t xml:space="preserve">W tej części formularza należy odnieść się do tego, czy charakterystyki poziomów są </w:t>
      </w:r>
      <w:r>
        <w:t>sformułowane w sposób  zrozumiały i zgodny z przyjętą w sektorze terminologią a jeżeli nie, zaproponować modyfikację.</w:t>
      </w:r>
    </w:p>
    <w:p w:rsidR="007601D0" w:rsidRDefault="0076725C">
      <w:pPr>
        <w:spacing w:line="240" w:lineRule="auto"/>
        <w:jc w:val="both"/>
      </w:pPr>
      <w:r>
        <w:rPr>
          <w:b/>
        </w:rPr>
        <w:t>Pytania pomocnicze:</w:t>
      </w:r>
    </w:p>
    <w:p w:rsidR="007601D0" w:rsidRDefault="0076725C">
      <w:pPr>
        <w:numPr>
          <w:ilvl w:val="0"/>
          <w:numId w:val="2"/>
        </w:numPr>
        <w:spacing w:after="0"/>
        <w:jc w:val="both"/>
      </w:pPr>
      <w:r>
        <w:t>Czy charakterystyki poziomów są sformułowane w sposób zrozumiały i zgodny z przyjętą w sektorze terminologią? Jeśli NI</w:t>
      </w:r>
      <w:r>
        <w:t>E, to prosimy o  wskazanie niezrozumiałych lub niezgodnych z terminologią zapisów i propozycję modyfikacji.</w:t>
      </w:r>
    </w:p>
    <w:p w:rsidR="007601D0" w:rsidRDefault="0076725C" w:rsidP="000946EA">
      <w:pPr>
        <w:numPr>
          <w:ilvl w:val="0"/>
          <w:numId w:val="2"/>
        </w:numPr>
        <w:spacing w:after="0"/>
        <w:jc w:val="both"/>
      </w:pPr>
      <w:r>
        <w:t>Zapisy w sektorowej ramie kwalifikacji uszeregowane są według rosnącego stopnia złożoności kompetencji, zgodnie z zasadą, że wyższy poziom jest przy</w:t>
      </w:r>
      <w:r>
        <w:t>pisywany kompetencjom bardziej zaawansowanym. Czy Pana/Pani zdaniem rozmieszczenia zapisów w projekcie SRK CHEM odzwierciedla rosnący stopień złożoności kompetencji?</w:t>
      </w:r>
      <w:r>
        <w:t xml:space="preserve"> Jeśli NIE to prosimy o wskazanie niewłaściwie rozmieszczonych zapisów i uzas</w:t>
      </w:r>
      <w:r>
        <w:t>adnienie.</w:t>
      </w:r>
    </w:p>
    <w:p w:rsidR="007601D0" w:rsidRDefault="0076725C">
      <w:pPr>
        <w:numPr>
          <w:ilvl w:val="0"/>
          <w:numId w:val="4"/>
        </w:numPr>
        <w:spacing w:after="0"/>
        <w:jc w:val="both"/>
      </w:pPr>
      <w:r>
        <w:lastRenderedPageBreak/>
        <w:t>Zapisy pogrupowane są w wiązki kompetencji o rosnącym stopniu złożoności. Czy są wiązki, które należałoby uzupełnić o kompetencje mniej lub bardziej złożone? Jeśli TAK to prosimy o wskazanie niekompletnych wiązek i przedstawienie propozycji uzupe</w:t>
      </w:r>
      <w:r>
        <w:t>łnienia.</w:t>
      </w:r>
    </w:p>
    <w:p w:rsidR="007601D0" w:rsidRDefault="007601D0">
      <w:pPr>
        <w:rPr>
          <w:i/>
        </w:rPr>
      </w:pPr>
    </w:p>
    <w:p w:rsidR="007601D0" w:rsidRDefault="007601D0">
      <w:pPr>
        <w:rPr>
          <w:i/>
          <w:sz w:val="20"/>
          <w:szCs w:val="20"/>
        </w:rPr>
      </w:pPr>
    </w:p>
    <w:tbl>
      <w:tblPr>
        <w:tblStyle w:val="a2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7601D0" w:rsidTr="00186D45">
        <w:trPr>
          <w:trHeight w:val="4964"/>
        </w:trPr>
        <w:tc>
          <w:tcPr>
            <w:tcW w:w="9209" w:type="dxa"/>
          </w:tcPr>
          <w:p w:rsidR="007601D0" w:rsidRDefault="007601D0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7601D0" w:rsidRDefault="007601D0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7601D0" w:rsidRDefault="007601D0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7601D0" w:rsidRDefault="007601D0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7601D0" w:rsidRDefault="007601D0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7601D0" w:rsidRDefault="007601D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p w:rsidR="007601D0" w:rsidRDefault="007601D0">
      <w:pPr>
        <w:jc w:val="both"/>
        <w:rPr>
          <w:i/>
          <w:sz w:val="20"/>
          <w:szCs w:val="20"/>
        </w:rPr>
      </w:pPr>
      <w:bookmarkStart w:id="1" w:name="_GoBack"/>
      <w:bookmarkEnd w:id="1"/>
    </w:p>
    <w:sectPr w:rsidR="007601D0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5C" w:rsidRDefault="0076725C">
      <w:pPr>
        <w:spacing w:after="0" w:line="240" w:lineRule="auto"/>
      </w:pPr>
      <w:r>
        <w:separator/>
      </w:r>
    </w:p>
  </w:endnote>
  <w:endnote w:type="continuationSeparator" w:id="0">
    <w:p w:rsidR="0076725C" w:rsidRDefault="0076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5C" w:rsidRDefault="0076725C">
      <w:pPr>
        <w:spacing w:after="0" w:line="240" w:lineRule="auto"/>
      </w:pPr>
      <w:r>
        <w:separator/>
      </w:r>
    </w:p>
  </w:footnote>
  <w:footnote w:type="continuationSeparator" w:id="0">
    <w:p w:rsidR="0076725C" w:rsidRDefault="0076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1D0" w:rsidRDefault="007672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774700"/>
          <wp:effectExtent l="0" t="0" r="0" b="0"/>
          <wp:docPr id="1" name="image1.jpg" descr="belka_logo_ZSK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elka_logo_ZSK (2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1F7B"/>
    <w:multiLevelType w:val="multilevel"/>
    <w:tmpl w:val="B1DE1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C0E51A1"/>
    <w:multiLevelType w:val="multilevel"/>
    <w:tmpl w:val="AF2CA8F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411A7"/>
    <w:multiLevelType w:val="multilevel"/>
    <w:tmpl w:val="DBE0AE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6263"/>
    <w:multiLevelType w:val="multilevel"/>
    <w:tmpl w:val="8AA434B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52684"/>
    <w:multiLevelType w:val="multilevel"/>
    <w:tmpl w:val="A61AB3A6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01D0"/>
    <w:rsid w:val="000946EA"/>
    <w:rsid w:val="00186D45"/>
    <w:rsid w:val="003876C3"/>
    <w:rsid w:val="007601D0"/>
    <w:rsid w:val="0076725C"/>
    <w:rsid w:val="00A2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tadek Osowski</dc:creator>
  <cp:lastModifiedBy>tadek</cp:lastModifiedBy>
  <cp:revision>4</cp:revision>
  <dcterms:created xsi:type="dcterms:W3CDTF">2020-04-02T10:38:00Z</dcterms:created>
  <dcterms:modified xsi:type="dcterms:W3CDTF">2020-04-02T10:42:00Z</dcterms:modified>
</cp:coreProperties>
</file>